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>
      <w:r>
        <w:t>Gemäß § 2 Abs. 4h der o.g. Verordnung sind ab dem 15.06.2020 Proben und Auftritte von Chören und Musikensembles vom Verbot nach § 8 Abs. 1 ausgenommen. Diese Handlung</w:t>
      </w:r>
      <w:r>
        <w:t>s</w:t>
      </w:r>
      <w:r>
        <w:t>hinweise sollen den Chor- und Ensemble-Leitungen Empfehlungen für ein Hygienekonzept zum Wiedereinstieg in den Probenbetrieb an die Hand geben.</w:t>
      </w:r>
    </w:p>
    <w:p/>
    <w:p>
      <w:r>
        <w:t>Für Ensembles in Theatern und Orchestern gilt der SARS-CoV-2-Arbeitsschutzstandard der VBG mit Empfehlungen für die Branche Bühnen und Studios. Die Regelungen für Mitarbeit</w:t>
      </w:r>
      <w:r>
        <w:t>e</w:t>
      </w:r>
      <w:r>
        <w:t>rinnen und Mitarbeiter sowie Besucherinnen und Besucher sind gemäß § 2 Abs. 4e der 5. Corona-Übergangs-LVO M-V in ein Hygienekonzept aufzunehmen, das von der zuständigen Gesundheitsbehörde nach § 2 Absatz 1 Infektionsschutzausführungsgesetz Mecklenburg-Vorpommern zu genehmigen ist. Auf die Handlungsempfehlungen des Ministeriums für Bi</w:t>
      </w:r>
      <w:r>
        <w:t>l</w:t>
      </w:r>
      <w:r>
        <w:t>dung, Wissenschaft und Kultur für Theater, Opern- und Konzerthäuser wird verwiesen. Für die Hochschule für Musik und Theater gelten die eigens abgestimmten Hygienekonzepte.</w:t>
      </w:r>
    </w:p>
    <w:p/>
    <w:p/>
    <w:p>
      <w:r>
        <w:t>Das Covid-19 verursachende Virus SARS-CoV-2 wird über die Atemwege übertragen. Durch die unten angeführten Maßnahmen kann die Übertragung über Tröpfchen, die beim Spr</w:t>
      </w:r>
      <w:r>
        <w:t>e</w:t>
      </w:r>
      <w:r>
        <w:t>chen, Husten und Niesen entstehen, vermieden werden. Unklar ist derzeit die Rolle von A</w:t>
      </w:r>
      <w:r>
        <w:t>e</w:t>
      </w:r>
      <w:r>
        <w:t>rosolen, die besonders infektiös sind und beim Chorsingen und der Bläserensemblearbeit in besonderer Weise auftreten können. Dieses Risiko muss den Teilnehmerinnen und Teilne</w:t>
      </w:r>
      <w:r>
        <w:t>h</w:t>
      </w:r>
      <w:r>
        <w:t>mern bewusst sein.</w:t>
      </w:r>
    </w:p>
    <w:p/>
    <w:p>
      <w:r>
        <w:t>Dieser Problematik kann am besten durch die Verlagerung der Proben ins Freie oder in gr</w:t>
      </w:r>
      <w:r>
        <w:t>o</w:t>
      </w:r>
      <w:r>
        <w:t>ße hohe Räume (Kirchen, Hallen) Abhilfe geschaffen werden (Verdünnungseffekt, Luftzirk</w:t>
      </w:r>
      <w:r>
        <w:t>u</w:t>
      </w:r>
      <w:r>
        <w:t>lation). In größeren Ansammlungen von Musikerinnen und Musikern sowie Sängerinnen und Sängern im Innenbereich sind zur Risikoreduzierung die risikominimierenden Faktoren zu kombinieren.</w:t>
      </w:r>
    </w:p>
    <w:p/>
    <w:p>
      <w:pPr>
        <w:pStyle w:val="berschrift3"/>
      </w:pPr>
      <w:r>
        <w:t>Allgemeine Hinweise: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Informieren Sie die Mitwirkenden frühzeitig über die geltenden Regeln. Personen mit en</w:t>
      </w:r>
      <w:r>
        <w:t>t</w:t>
      </w:r>
      <w:r>
        <w:t>sprechenden Vorerkrankungen (Risikogruppen laut RKI) sollten auf ein erhöhtes Risiko abhängig vom lokalen Infektionsgeschehen hingewiesen werden.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Musikerinnen und Musiker sowie Sängerinnen und Sänger, die zu Hochrisikogruppen gehören (insb. Personen mit Immunsuppression, Chemotherapie, Atemwegserkranku</w:t>
      </w:r>
      <w:r>
        <w:t>n</w:t>
      </w:r>
      <w:r>
        <w:t>gen etc.), wird geraten, bis auf weiteres auf Präsenzproben zu verzichten. Dies dient dem Schutz der betroffenen Ensemblemitglieder. Hier bleiben weitere Erkenntnisse zur Infekt</w:t>
      </w:r>
      <w:r>
        <w:t>i</w:t>
      </w:r>
      <w:r>
        <w:t>onsgefahr durch Aerosole abzuwarten. Betroffenen Ensemblemitgliedern könnten geg</w:t>
      </w:r>
      <w:r>
        <w:t>e</w:t>
      </w:r>
      <w:r>
        <w:t>benenfalls alternative Probemöglichkeiten (Livestream, Probeaufnahmen, Übe-Dateien etc.) bereitgestellt werden.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Personen mit SARS-CoV2-Symptomatik sind von den Proben auszuschließen, sofern sie nicht durch ein ärztliches Attest nachweisen können, dass sie nicht an COVID-19 erkrankt sind. Bei Kontakt zu SARS-CoV2-betroffenen Personen gelten die Quarantäneregelungen (ggf. Ausschluss von den Proben für 14 Tage).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 xml:space="preserve">Die Gruppenzusammensetzung sollte möglichst konstant gehalten werden und bestimmt sich nach der Größe der verfügbaren Räumlichkeiten. Es </w:t>
      </w:r>
      <w:proofErr w:type="gramStart"/>
      <w:r>
        <w:t>sind</w:t>
      </w:r>
      <w:proofErr w:type="gramEnd"/>
      <w:r>
        <w:t xml:space="preserve"> Anwesenheitslisten mit den Kontaktdaten aller Teilnehmerinnen und Teilnehmer unter Angabe des Datums zu führen und diese vier Wochen unter Berücksichtigung der DSGVO aufzubewahren (vgl. LVO).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Vermeiden Sie Warteschlangen oder Ansammlungen. Die vorgegebenen 1,5 Meter Mi</w:t>
      </w:r>
      <w:r>
        <w:t>n</w:t>
      </w:r>
      <w:r>
        <w:t>destabstand müssen beim Betreten und Verlassen der Räumlichkeiten und während der Pausen generell eingehalten werden können. In Räumen ist das Tragen einer Mund-Nasen-Bedeckung auch bei eingehaltenem Sicherheitsabstand zu empfehlen, wobei Ki</w:t>
      </w:r>
      <w:r>
        <w:t>n</w:t>
      </w:r>
      <w:r>
        <w:t>der bis zum Schuleintritt und Menschen, die aufgrund einer medizinischen oder psych</w:t>
      </w:r>
      <w:r>
        <w:t>i</w:t>
      </w:r>
      <w:r>
        <w:t>schen Beeinträchtigung oder wegen einer Behinderung keine Mund-Nasen-Bedeckung tragen können und dies durch eine ärztliche Bescheinigung nachweisen können, ausg</w:t>
      </w:r>
      <w:r>
        <w:t>e</w:t>
      </w:r>
      <w:r>
        <w:t>nommen sind.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Die Husten- und Niesetikette ist einzuhalten.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Sofern keine Handwaschmöglichkeiten existieren, sind möglichst Händedesinfektion</w:t>
      </w:r>
      <w:r>
        <w:t>s</w:t>
      </w:r>
      <w:r>
        <w:t>spender vorzuhalten.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Wo möglich, sollten Proben im Freien durchgeführt werden. Bei Proben im Innenbereich sind ausreichend große und hohe Räume zu wählen (hohes Luftvolumen). Empfohlen wird die Reduzierung der Teilnehmerzahl auf 1 Person je 10 Quadratmeter. Die Größe des Probenraumes definiert daher die maximale Anzahl der Probenteilnehmerinnen und -teilnehmer. Gruppen sind daher gegebenenfalls zu reduzieren und in sinnvoll ausgewäh</w:t>
      </w:r>
      <w:r>
        <w:t>l</w:t>
      </w:r>
      <w:r>
        <w:t>ten Gruppen (Doppel-Quartett, Stimmgruppe etc.) zu proben.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Es ist eine Sitzordnung festzulegen und diese für die Teilnehmerinnen und Teilnehmer vorab bekannt zu machen und einzuhalten.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Die Gesamtprobendauer ist in der Regel auf 1 Stunde zu begrenzen und für Lüftungspa</w:t>
      </w:r>
      <w:r>
        <w:t>u</w:t>
      </w:r>
      <w:r>
        <w:t>sen in kleinere Einheiten (bspw. 15 Minuten) zu unterteilen.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Übungen im Innenbereich, die körperliche Nähe erfordern und/oder zu starker Atemaktiv</w:t>
      </w:r>
      <w:r>
        <w:t>i</w:t>
      </w:r>
      <w:r>
        <w:t>tät führen, sind zu vermeiden. Ebenso sind besondere Übungen wie bspw. das Mun</w:t>
      </w:r>
      <w:r>
        <w:t>d</w:t>
      </w:r>
      <w:r>
        <w:t>stück- und Lippensummen zu vermeiden.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Räumlichkeiten und Flure sollten regelmäßig gelüftet und häufiger gereinigt werden. Em</w:t>
      </w:r>
      <w:r>
        <w:t>p</w:t>
      </w:r>
      <w:r>
        <w:t xml:space="preserve">fohlen wird eine regelmäßige Durchlüftung für 10 Minuten (Stoßlüftung). In Räumen </w:t>
      </w:r>
      <w:r>
        <w:rPr>
          <w:rFonts w:eastAsia="Calibri"/>
          <w:bCs/>
        </w:rPr>
        <w:t xml:space="preserve">muss die Funktionstüchtigkeit vorhandener </w:t>
      </w:r>
      <w:proofErr w:type="spellStart"/>
      <w:r>
        <w:rPr>
          <w:rFonts w:eastAsia="Calibri"/>
          <w:bCs/>
        </w:rPr>
        <w:t>Be</w:t>
      </w:r>
      <w:proofErr w:type="spellEnd"/>
      <w:r>
        <w:rPr>
          <w:rFonts w:eastAsia="Calibri"/>
          <w:bCs/>
        </w:rPr>
        <w:t>- und Entlüftungsanlagen sichergestellt sein.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Es empfiehlt sich, eine/n Hygiene-Verantwortliche/n zu benennen, der die Umsetzung des Hygienekonzeptes inkl. Abstandswahrung, Anwesenheitslisten, Sitzordnung, Proben- und Lüftungszeiten im Blick behält.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In den Sanitärräumlichkeiten ist gegebenenfalls der Zugang zu regeln. Zudem sind hinre</w:t>
      </w:r>
      <w:r>
        <w:t>i</w:t>
      </w:r>
      <w:r>
        <w:t>chend Seifenspender und Papiertücher- bzw. Stoffhandtuchspender vorzuhalten, der B</w:t>
      </w:r>
      <w:r>
        <w:t>e</w:t>
      </w:r>
      <w:r>
        <w:t>stand ist regelmäßig zu kontrollieren bzw. deren Funktionstüchtigkeit regelmäßig zu übe</w:t>
      </w:r>
      <w:r>
        <w:t>r</w:t>
      </w:r>
      <w:r>
        <w:t>prüfen. Die entsprechenden Auffangbehälter für Einmalhandtücher sind vorzuhalten.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In den Pausen ist sorgfältig darauf zu achten, dass die Abstandsregelungen eingehalten werden und es nicht zu Hände-/Gesichtskontakten oder Kontakten über Oberflächen (bspw. über Noten- oder Instrumententausch) kommt.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Mindestens arbeitstäglich ist eine Reinigung der Räumlichkeiten mit handelsüblichen Re</w:t>
      </w:r>
      <w:r>
        <w:t>i</w:t>
      </w:r>
      <w:r>
        <w:t>nigungsmitteln vorzunehmen. Hierbei sind auch die Pulte und insbesondere der Bodenb</w:t>
      </w:r>
      <w:r>
        <w:t>e</w:t>
      </w:r>
      <w:r>
        <w:t>reich zu beachten.</w:t>
      </w:r>
    </w:p>
    <w:p>
      <w:pPr>
        <w:pStyle w:val="Listenabsatz"/>
        <w:ind w:left="284"/>
      </w:pPr>
    </w:p>
    <w:p>
      <w:pPr>
        <w:pStyle w:val="berschrift3"/>
      </w:pPr>
      <w:r>
        <w:t>Weitere Hinweise für Chöre: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Noten und Notenpulte werden nicht geteilt. Ausgenommen sind Angehörige eines Hau</w:t>
      </w:r>
      <w:r>
        <w:t>s</w:t>
      </w:r>
      <w:r>
        <w:t>standes.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Der Mindestabstand von drei Metern ist einzuhalten. Stehen die Sänger in mehreren Re</w:t>
      </w:r>
      <w:r>
        <w:t>i</w:t>
      </w:r>
      <w:r>
        <w:t>hen, sind diese versetzt aufzustellen und die drei Meter radial einzuhalten. Gegebene</w:t>
      </w:r>
      <w:r>
        <w:t>n</w:t>
      </w:r>
      <w:r>
        <w:t>falls ist – auch zum Schutz des Chorleiters – ein größerer Abstand in Singrichtung einz</w:t>
      </w:r>
      <w:r>
        <w:t>u</w:t>
      </w:r>
      <w:r>
        <w:t>planen. Von einer Aufstellung im Kreis ist abzusehen.</w:t>
      </w:r>
    </w:p>
    <w:p>
      <w:pPr>
        <w:pStyle w:val="berschrift3"/>
      </w:pPr>
      <w:r>
        <w:t>Weitere Hinweise für Bläserensembles: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Keine gemeinschaftliche Nutzung von Instrumenten und Notenpulten. Ausgenommen sind Angehörige eines Hausstandes.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Der Mindestabstand von drei Metern ist einzuhalten. Stehen die Bläser in mehreren Re</w:t>
      </w:r>
      <w:r>
        <w:t>i</w:t>
      </w:r>
      <w:r>
        <w:t>hen, sind diese versetzt aufzustellen und die drei Meter radial einzuhalten. Von einer Au</w:t>
      </w:r>
      <w:r>
        <w:t>f</w:t>
      </w:r>
      <w:r>
        <w:t>stellung im Kreis ist abzusehen.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Die Instrumente sollen mit Einwegtüchern gereinigt werden. Die Tücher sollten von jedem persönlich entsorgt werden.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Das Kondenswasser ist – bis genauere Kenntnisse zur Viruslast im Kondenswasser vo</w:t>
      </w:r>
      <w:r>
        <w:t>r</w:t>
      </w:r>
      <w:r>
        <w:t>liegen – individuell und verbreitungssicher aufzufangen (eigenes Behältnis, bspw. mit Einwegtüchern ausgelegt).</w:t>
      </w:r>
    </w:p>
    <w:p>
      <w:pPr>
        <w:pStyle w:val="Listenabsatz"/>
        <w:numPr>
          <w:ilvl w:val="0"/>
          <w:numId w:val="21"/>
        </w:numPr>
        <w:ind w:left="284" w:hanging="284"/>
      </w:pPr>
      <w:r>
        <w:t>Vom Durchblasen der Instrumente bspw. zur Säuberung ist abzusehen.</w:t>
      </w:r>
    </w:p>
    <w:p>
      <w:pPr>
        <w:pStyle w:val="Listenabsatz"/>
        <w:numPr>
          <w:ilvl w:val="0"/>
          <w:numId w:val="21"/>
        </w:numPr>
        <w:ind w:left="284" w:hanging="284"/>
        <w:rPr>
          <w:b/>
        </w:rPr>
      </w:pPr>
      <w:r>
        <w:t>Bis zur weiteren Klärung von Viruslasten bzw. der Filterwirkungen in Instrumenten ist die Bespannung der Schalltrichter mit Textilabdeckung vorzusehen.</w:t>
      </w:r>
    </w:p>
    <w:p>
      <w:pPr>
        <w:pStyle w:val="Listenabsatz"/>
        <w:numPr>
          <w:ilvl w:val="0"/>
          <w:numId w:val="21"/>
        </w:numPr>
        <w:ind w:left="284" w:hanging="284"/>
        <w:rPr>
          <w:rStyle w:val="Hyperlink"/>
          <w:b/>
          <w:color w:val="auto"/>
          <w:u w:val="none"/>
        </w:rPr>
      </w:pPr>
      <w:r>
        <w:t xml:space="preserve">Zu den einzelnen Instrumenten siehe auch: FAQ des </w:t>
      </w:r>
      <w:proofErr w:type="spellStart"/>
      <w:r>
        <w:t>VdM</w:t>
      </w:r>
      <w:proofErr w:type="spellEnd"/>
      <w:r>
        <w:t xml:space="preserve"> unter:  </w:t>
      </w:r>
      <w:hyperlink r:id="rId9" w:history="1">
        <w:r>
          <w:rPr>
            <w:rStyle w:val="Hyperlink"/>
          </w:rPr>
          <w:t>https://www.musikschulen.de/medien/doks/Corona/faq_blaeserunterricht-corona.pdf</w:t>
        </w:r>
      </w:hyperlink>
    </w:p>
    <w:p>
      <w:pPr>
        <w:rPr>
          <w:b/>
        </w:rPr>
      </w:pPr>
    </w:p>
    <w:p>
      <w:pPr>
        <w:rPr>
          <w:b/>
        </w:rPr>
      </w:pPr>
    </w:p>
    <w:p>
      <w:r>
        <w:t>Weitere Informationen erhalten Sie über die Landes- und Fachverbände sowie im Minister</w:t>
      </w:r>
      <w:r>
        <w:t>i</w:t>
      </w:r>
      <w:r>
        <w:t xml:space="preserve">um für Bildung, Wissenschaft und Kultur (Katerina Schumacher, </w:t>
      </w:r>
      <w:hyperlink r:id="rId10" w:history="1">
        <w:r>
          <w:rPr>
            <w:rStyle w:val="Hyperlink"/>
          </w:rPr>
          <w:t>k.schumacher@bm.mv-regierung.de</w:t>
        </w:r>
      </w:hyperlink>
      <w:r>
        <w:t>, Tel. 0385 – 588 7400).</w:t>
      </w:r>
    </w:p>
    <w:sectPr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3E3CA" w15:done="0"/>
  <w15:commentEx w15:paraId="22620A08" w15:done="0"/>
  <w15:commentEx w15:paraId="262787EF" w15:done="0"/>
  <w15:commentEx w15:paraId="5596AA0C" w15:done="0"/>
  <w15:commentEx w15:paraId="647B944C" w15:done="0"/>
  <w15:commentEx w15:paraId="73F508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9263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t xml:space="preserve">Seite </w:t>
            </w:r>
            <w:r>
              <w:rPr>
                <w:bCs/>
                <w:sz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Cs/>
                <w:sz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>
              <w:rPr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jc w:val="right"/>
      <w:rPr>
        <w:b/>
        <w:color w:val="0070C0"/>
        <w:sz w:val="24"/>
      </w:rPr>
    </w:pPr>
    <w:r>
      <w:rPr>
        <w:noProof/>
        <w:lang w:eastAsia="de-DE"/>
      </w:rPr>
      <w:drawing>
        <wp:inline distT="0" distB="0" distL="0" distR="0">
          <wp:extent cx="1675288" cy="531171"/>
          <wp:effectExtent l="0" t="0" r="127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725" cy="53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Kopfzeile"/>
      <w:rPr>
        <w:b/>
        <w:color w:val="0070C0"/>
        <w:sz w:val="24"/>
      </w:rPr>
    </w:pPr>
    <w:r>
      <w:rPr>
        <w:b/>
        <w:color w:val="0070C0"/>
        <w:sz w:val="24"/>
      </w:rPr>
      <w:t>Handlungsempfehlungen des Ministeriums für Bildung, Wissenschaft und Ku</w:t>
    </w:r>
    <w:r>
      <w:rPr>
        <w:b/>
        <w:color w:val="0070C0"/>
        <w:sz w:val="24"/>
      </w:rPr>
      <w:t>l</w:t>
    </w:r>
    <w:r>
      <w:rPr>
        <w:b/>
        <w:color w:val="0070C0"/>
        <w:sz w:val="24"/>
      </w:rPr>
      <w:t>tur zur Umsetzung der Verordnung der Landesregierung M-V zur angemess</w:t>
    </w:r>
    <w:r>
      <w:rPr>
        <w:b/>
        <w:color w:val="0070C0"/>
        <w:sz w:val="24"/>
      </w:rPr>
      <w:t>e</w:t>
    </w:r>
    <w:r>
      <w:rPr>
        <w:b/>
        <w:color w:val="0070C0"/>
        <w:sz w:val="24"/>
      </w:rPr>
      <w:t xml:space="preserve">nen Öffnung nach den Corona-Schutz-Maßnahmen (Corona-Öffnung-LVO M-V) für Chor- und Musikensembles </w:t>
    </w:r>
  </w:p>
  <w:p>
    <w:pPr>
      <w:pStyle w:val="Kopfzeile"/>
      <w:jc w:val="right"/>
      <w:rPr>
        <w:b/>
        <w:color w:val="0070C0"/>
        <w:sz w:val="24"/>
      </w:rPr>
    </w:pPr>
    <w:r>
      <w:rPr>
        <w:b/>
        <w:color w:val="0070C0"/>
        <w:sz w:val="24"/>
      </w:rPr>
      <w:t>12.06.2020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385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D00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766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4EC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CF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C20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618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26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54F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8A9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3065F"/>
    <w:multiLevelType w:val="hybridMultilevel"/>
    <w:tmpl w:val="14905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97D4E"/>
    <w:multiLevelType w:val="hybridMultilevel"/>
    <w:tmpl w:val="FA90ED54"/>
    <w:lvl w:ilvl="0" w:tplc="7CD0949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6E38"/>
    <w:multiLevelType w:val="hybridMultilevel"/>
    <w:tmpl w:val="59941682"/>
    <w:lvl w:ilvl="0" w:tplc="77A0B05E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5D4094"/>
    <w:multiLevelType w:val="hybridMultilevel"/>
    <w:tmpl w:val="94642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558CA"/>
    <w:multiLevelType w:val="hybridMultilevel"/>
    <w:tmpl w:val="398E4ACC"/>
    <w:lvl w:ilvl="0" w:tplc="76143DE8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20AD6"/>
    <w:multiLevelType w:val="hybridMultilevel"/>
    <w:tmpl w:val="D0F00C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77182C"/>
    <w:multiLevelType w:val="hybridMultilevel"/>
    <w:tmpl w:val="0D6A05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A332F"/>
    <w:multiLevelType w:val="hybridMultilevel"/>
    <w:tmpl w:val="A80087A4"/>
    <w:lvl w:ilvl="0" w:tplc="8D509E48">
      <w:start w:val="1"/>
      <w:numFmt w:val="upperRoman"/>
      <w:pStyle w:val="berschrift1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34BCC"/>
    <w:multiLevelType w:val="hybridMultilevel"/>
    <w:tmpl w:val="3C46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442B4"/>
    <w:multiLevelType w:val="hybridMultilevel"/>
    <w:tmpl w:val="568EE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D12F0"/>
    <w:multiLevelType w:val="hybridMultilevel"/>
    <w:tmpl w:val="8E969DC6"/>
    <w:lvl w:ilvl="0" w:tplc="04070011">
      <w:start w:val="1"/>
      <w:numFmt w:val="decimal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5E1216"/>
    <w:multiLevelType w:val="hybridMultilevel"/>
    <w:tmpl w:val="0FE2C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D58A1"/>
    <w:multiLevelType w:val="hybridMultilevel"/>
    <w:tmpl w:val="BC6C0E2E"/>
    <w:lvl w:ilvl="0" w:tplc="77A0B05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F009C"/>
    <w:multiLevelType w:val="hybridMultilevel"/>
    <w:tmpl w:val="354CFB7A"/>
    <w:lvl w:ilvl="0" w:tplc="0CCA0DB4">
      <w:start w:val="1"/>
      <w:numFmt w:val="decimal"/>
      <w:pStyle w:val="berschrift2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2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3"/>
  </w:num>
  <w:num w:numId="22">
    <w:abstractNumId w:val="18"/>
  </w:num>
  <w:num w:numId="23">
    <w:abstractNumId w:val="19"/>
  </w:num>
  <w:num w:numId="2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ertümpel, Michael">
    <w15:presenceInfo w15:providerId="AD" w15:userId="S-1-5-21-4230885739-344549064-3204484105-19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3"/>
      </w:numPr>
      <w:spacing w:before="480"/>
      <w:ind w:left="357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numId w:val="7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200" w:line="240" w:lineRule="auto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200" w:line="240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Cs w:val="28"/>
    </w:rPr>
  </w:style>
  <w:style w:type="paragraph" w:styleId="KeinLeerraum">
    <w:name w:val="No Spacing"/>
    <w:uiPriority w:val="1"/>
    <w:qFormat/>
    <w:rPr>
      <w:sz w:val="22"/>
    </w:rPr>
  </w:style>
  <w:style w:type="table" w:styleId="Tabellenraster">
    <w:name w:val="Table Grid"/>
    <w:basedOn w:val="NormaleTabelle"/>
    <w:uiPriority w:val="39"/>
    <w:pPr>
      <w:jc w:val="left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Cs/>
      <w:sz w:val="22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200" w:line="240" w:lineRule="auto"/>
    </w:pPr>
    <w:rPr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/>
      <w:sz w:val="15"/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  <w:rPr>
      <w:rFonts w:asciiTheme="majorHAnsi" w:hAnsiTheme="majorHAnsi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bCs/>
      <w:sz w:val="15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5B9BD5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3"/>
      </w:numPr>
      <w:spacing w:before="480"/>
      <w:ind w:left="357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numId w:val="7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200" w:line="240" w:lineRule="auto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200" w:line="240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Cs w:val="28"/>
    </w:rPr>
  </w:style>
  <w:style w:type="paragraph" w:styleId="KeinLeerraum">
    <w:name w:val="No Spacing"/>
    <w:uiPriority w:val="1"/>
    <w:qFormat/>
    <w:rPr>
      <w:sz w:val="22"/>
    </w:rPr>
  </w:style>
  <w:style w:type="table" w:styleId="Tabellenraster">
    <w:name w:val="Table Grid"/>
    <w:basedOn w:val="NormaleTabelle"/>
    <w:uiPriority w:val="39"/>
    <w:pPr>
      <w:jc w:val="left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Cs/>
      <w:sz w:val="22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200" w:line="240" w:lineRule="auto"/>
    </w:pPr>
    <w:rPr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/>
      <w:sz w:val="15"/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  <w:rPr>
      <w:rFonts w:asciiTheme="majorHAnsi" w:hAnsiTheme="majorHAnsi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bCs/>
      <w:sz w:val="15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5B9BD5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.schumacher@bm.mv-regierung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musikschulen.de/medien/doks/Corona/faq_blaeserunterricht-corona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2554-82D4-4664-9833-255CFF8D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FC95F1C7</Template>
  <TotalTime>0</TotalTime>
  <Pages>1</Pages>
  <Words>1086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Baumann, Maria</dc:creator>
  <cp:lastModifiedBy>Schumacher Katerina</cp:lastModifiedBy>
  <cp:revision>55</cp:revision>
  <cp:lastPrinted>2018-12-19T13:15:00Z</cp:lastPrinted>
  <dcterms:created xsi:type="dcterms:W3CDTF">2020-04-23T12:29:00Z</dcterms:created>
  <dcterms:modified xsi:type="dcterms:W3CDTF">2020-06-12T14:09:00Z</dcterms:modified>
</cp:coreProperties>
</file>